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B06D9F" w:rsidP="008B3E58">
      <w:pPr>
        <w:pStyle w:val="berschrift1"/>
        <w:numPr>
          <w:ilvl w:val="0"/>
          <w:numId w:val="0"/>
        </w:numPr>
        <w:tabs>
          <w:tab w:val="right" w:pos="14459"/>
        </w:tabs>
        <w:ind w:left="360" w:hanging="360"/>
      </w:pPr>
      <w:bookmarkStart w:id="0" w:name="_Toc412541715"/>
      <w:r w:rsidRPr="00B06D9F">
        <w:t>Wolfgang Borchert „Nachts schlafen die Ratten doch“ – Bedeutung der Form für den Inhalt</w:t>
      </w:r>
      <w:bookmarkEnd w:id="0"/>
      <w:r w:rsidR="008B3E58">
        <w:tab/>
      </w:r>
      <w:r w:rsidR="000B5E8D">
        <w:t>AB 01</w:t>
      </w:r>
    </w:p>
    <w:p w:rsidR="00F131AC" w:rsidRDefault="00153F87" w:rsidP="008B3E58">
      <w:pPr>
        <w:pStyle w:val="Textkrper"/>
        <w:ind w:right="96"/>
      </w:pPr>
      <w:r>
        <w:t>„</w:t>
      </w:r>
      <w:r w:rsidR="00B06D9F" w:rsidRPr="00B06D9F">
        <w:t>Nachts schlafen die Ratten doch“-Thematik: Überwindung eines Traumas, das durch Krieg, Zerstörung und Tod ausgelöst worden ist. Die</w:t>
      </w:r>
      <w:r>
        <w:t xml:space="preserve"> Th</w:t>
      </w:r>
      <w:r>
        <w:t>e</w:t>
      </w:r>
      <w:r>
        <w:t>matik</w:t>
      </w:r>
      <w:r w:rsidR="00B06D9F" w:rsidRPr="00B06D9F">
        <w:t xml:space="preserve"> wird am Beispiel eines 9-jährigen Jungen, der seinen Bruder bei einem Bombenangriff verloren hat, dargestellt. </w:t>
      </w:r>
    </w:p>
    <w:p w:rsidR="00B06D9F" w:rsidRPr="00B06D9F" w:rsidRDefault="00B06D9F" w:rsidP="00FB0C4F">
      <w:pPr>
        <w:pStyle w:val="Textkrper-Erstzeileneinzug"/>
        <w:ind w:firstLine="0"/>
      </w:pPr>
    </w:p>
    <w:tbl>
      <w:tblPr>
        <w:tblW w:w="1449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1"/>
        <w:gridCol w:w="4678"/>
        <w:gridCol w:w="2977"/>
        <w:gridCol w:w="5145"/>
      </w:tblGrid>
      <w:tr w:rsidR="00B06D9F" w:rsidRPr="002B67FB" w:rsidTr="00622FBC">
        <w:trPr>
          <w:trHeight w:hRule="exact" w:val="637"/>
        </w:trPr>
        <w:tc>
          <w:tcPr>
            <w:tcW w:w="1691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B06D9F" w:rsidRPr="00FB0C4F" w:rsidRDefault="00B06D9F" w:rsidP="007B2196">
            <w:pPr>
              <w:pStyle w:val="TabelleLinks"/>
              <w:ind w:left="57"/>
              <w:rPr>
                <w:b/>
              </w:rPr>
            </w:pPr>
            <w:r w:rsidRPr="00FB0C4F">
              <w:rPr>
                <w:b/>
              </w:rPr>
              <w:t>Sprachlich-formale Mittel</w:t>
            </w:r>
          </w:p>
        </w:tc>
        <w:tc>
          <w:tcPr>
            <w:tcW w:w="4678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06D9F" w:rsidRPr="00FB0C4F" w:rsidRDefault="00B06D9F" w:rsidP="007B2196">
            <w:pPr>
              <w:pStyle w:val="TabelleLinks"/>
              <w:ind w:left="57"/>
              <w:rPr>
                <w:b/>
              </w:rPr>
            </w:pPr>
            <w:r w:rsidRPr="00FB0C4F">
              <w:rPr>
                <w:b/>
              </w:rPr>
              <w:t>Definition mit Beispiel</w:t>
            </w:r>
          </w:p>
        </w:tc>
        <w:tc>
          <w:tcPr>
            <w:tcW w:w="2977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B06D9F" w:rsidRPr="00FB0C4F" w:rsidRDefault="00B06D9F" w:rsidP="007B2196">
            <w:pPr>
              <w:pStyle w:val="TabelleLinks"/>
              <w:ind w:left="57"/>
              <w:rPr>
                <w:b/>
              </w:rPr>
            </w:pPr>
            <w:r w:rsidRPr="00FB0C4F">
              <w:rPr>
                <w:b/>
                <w:bCs/>
                <w:spacing w:val="3"/>
              </w:rPr>
              <w:t>Textbeleg</w:t>
            </w:r>
          </w:p>
        </w:tc>
        <w:tc>
          <w:tcPr>
            <w:tcW w:w="5145" w:type="dxa"/>
            <w:tcBorders>
              <w:top w:val="single" w:sz="13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B06D9F" w:rsidRPr="00FB0C4F" w:rsidRDefault="00B06D9F" w:rsidP="008B3E58">
            <w:pPr>
              <w:pStyle w:val="TabelleLinks"/>
              <w:ind w:left="57"/>
              <w:rPr>
                <w:b/>
              </w:rPr>
            </w:pPr>
            <w:r w:rsidRPr="00FB0C4F">
              <w:rPr>
                <w:b/>
                <w:bCs/>
              </w:rPr>
              <w:t>Bezug zur Thematik, ihrem Kontext und ihrer En</w:t>
            </w:r>
            <w:r w:rsidRPr="00FB0C4F">
              <w:rPr>
                <w:b/>
                <w:bCs/>
              </w:rPr>
              <w:t>t</w:t>
            </w:r>
            <w:r w:rsidRPr="00FB0C4F">
              <w:rPr>
                <w:b/>
                <w:bCs/>
              </w:rPr>
              <w:t>wicklung</w:t>
            </w:r>
          </w:p>
        </w:tc>
      </w:tr>
      <w:tr w:rsidR="00B06D9F" w:rsidTr="00622FBC">
        <w:trPr>
          <w:trHeight w:hRule="exact" w:val="1282"/>
        </w:trPr>
        <w:tc>
          <w:tcPr>
            <w:tcW w:w="169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9F" w:rsidRPr="00FB0C4F" w:rsidRDefault="00B06D9F" w:rsidP="00BE5D0B">
            <w:pPr>
              <w:pStyle w:val="TabelleLinks"/>
              <w:rPr>
                <w:szCs w:val="24"/>
              </w:rPr>
            </w:pPr>
            <w:r w:rsidRPr="00FB0C4F">
              <w:rPr>
                <w:szCs w:val="24"/>
              </w:rPr>
              <w:t>Wortebene:</w:t>
            </w:r>
          </w:p>
          <w:p w:rsidR="00B06D9F" w:rsidRPr="00FB0C4F" w:rsidRDefault="00B06D9F" w:rsidP="00BE5D0B">
            <w:pPr>
              <w:pStyle w:val="TabelleLinks"/>
              <w:rPr>
                <w:szCs w:val="24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zCs w:val="24"/>
              </w:rPr>
            </w:pPr>
            <w:r w:rsidRPr="00FB0C4F">
              <w:rPr>
                <w:b/>
                <w:szCs w:val="24"/>
              </w:rPr>
              <w:t>Substantive</w:t>
            </w:r>
          </w:p>
        </w:tc>
        <w:tc>
          <w:tcPr>
            <w:tcW w:w="467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Nomen, die im Satz- oder Gedankenzusammenhang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oder in Bezug auf die Thematik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eine positive oder 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gative Bedeutung haben. Die Wirkung kann durch eine Häufung von Hauptwörtern mit eher positiver oder negativer Bedeutung verstärkt werden.</w:t>
            </w:r>
          </w:p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97469D">
            <w:pPr>
              <w:pStyle w:val="TabelleLinks"/>
              <w:ind w:left="57"/>
              <w:rPr>
                <w:sz w:val="20"/>
              </w:rPr>
            </w:pPr>
            <w:r w:rsidRPr="00FB0C4F">
              <w:rPr>
                <w:sz w:val="20"/>
              </w:rPr>
              <w:t>„Fenster, Mauer, Abendsonne, Schuttwüste, Staubgewölke, Schornsteinreste“ (Z.</w:t>
            </w:r>
            <w:r w:rsidR="008B3E58">
              <w:rPr>
                <w:sz w:val="20"/>
              </w:rPr>
              <w:t xml:space="preserve"> </w:t>
            </w:r>
            <w:r w:rsidRPr="00FB0C4F">
              <w:rPr>
                <w:sz w:val="20"/>
              </w:rPr>
              <w:t>1-3)</w:t>
            </w:r>
          </w:p>
          <w:p w:rsidR="00B06D9F" w:rsidRPr="00FB0C4F" w:rsidRDefault="00B06D9F" w:rsidP="008B3E58">
            <w:pPr>
              <w:pStyle w:val="TabelleLinks"/>
              <w:ind w:left="57"/>
              <w:rPr>
                <w:sz w:val="20"/>
              </w:rPr>
            </w:pPr>
            <w:r w:rsidRPr="00FB0C4F">
              <w:rPr>
                <w:sz w:val="20"/>
              </w:rPr>
              <w:t>„Mann, Beine, Sonne, Korb, Kani</w:t>
            </w:r>
            <w:r w:rsidRPr="00FB0C4F">
              <w:rPr>
                <w:sz w:val="20"/>
              </w:rPr>
              <w:t>n</w:t>
            </w:r>
            <w:r w:rsidRPr="00FB0C4F">
              <w:rPr>
                <w:sz w:val="20"/>
              </w:rPr>
              <w:t>chenfutter, Schutt“ (Z.</w:t>
            </w:r>
            <w:r w:rsidR="008B3E58">
              <w:rPr>
                <w:sz w:val="20"/>
              </w:rPr>
              <w:t xml:space="preserve"> </w:t>
            </w:r>
            <w:r w:rsidR="00551E60">
              <w:rPr>
                <w:rFonts w:cstheme="minorHAnsi"/>
                <w:sz w:val="20"/>
              </w:rPr>
              <w:t>79</w:t>
            </w:r>
            <w:r w:rsidR="00551E60" w:rsidRPr="00BC7E05">
              <w:rPr>
                <w:rFonts w:cstheme="minorHAnsi"/>
                <w:sz w:val="20"/>
              </w:rPr>
              <w:t>-</w:t>
            </w:r>
            <w:r w:rsidR="00551E60">
              <w:rPr>
                <w:rFonts w:cstheme="minorHAnsi"/>
                <w:sz w:val="20"/>
              </w:rPr>
              <w:t>82</w:t>
            </w:r>
            <w:r w:rsidRPr="00FB0C4F">
              <w:rPr>
                <w:sz w:val="20"/>
              </w:rPr>
              <w:t>)</w:t>
            </w:r>
          </w:p>
        </w:tc>
        <w:tc>
          <w:tcPr>
            <w:tcW w:w="514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783B78" w:rsidTr="00FB0C4F">
        <w:trPr>
          <w:trHeight w:hRule="exact" w:val="1248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9F" w:rsidRPr="00FB0C4F" w:rsidRDefault="00B06D9F" w:rsidP="00BE5D0B">
            <w:pPr>
              <w:pStyle w:val="TabelleLinks"/>
              <w:rPr>
                <w:szCs w:val="24"/>
              </w:rPr>
            </w:pPr>
            <w:r w:rsidRPr="00FB0C4F">
              <w:rPr>
                <w:szCs w:val="24"/>
              </w:rPr>
              <w:t>Wortebene:</w:t>
            </w:r>
          </w:p>
          <w:p w:rsidR="00B06D9F" w:rsidRPr="00FB0C4F" w:rsidRDefault="00B06D9F" w:rsidP="00BE5D0B">
            <w:pPr>
              <w:pStyle w:val="TabelleLinks"/>
              <w:rPr>
                <w:szCs w:val="24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zCs w:val="24"/>
              </w:rPr>
            </w:pPr>
            <w:r w:rsidRPr="00FB0C4F">
              <w:rPr>
                <w:b/>
                <w:szCs w:val="24"/>
                <w:shd w:val="clear" w:color="auto" w:fill="C2D69B" w:themeFill="accent3" w:themeFillTint="99"/>
              </w:rPr>
              <w:t>Verben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Wortart, die ein Handeln, Dulden oder Unterlassen ausdrückt.</w:t>
            </w:r>
          </w:p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Häufig wird zwischen Zustandsverben (statische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Ve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ben) und </w:t>
            </w:r>
            <w:r w:rsidRPr="00BC7E0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Vorgangsverben (dynamische</w:t>
            </w:r>
            <w:r>
              <w:rPr>
                <w:rFonts w:asciiTheme="minorHAnsi" w:hAnsiTheme="minorHAnsi" w:cstheme="minorHAnsi"/>
                <w:spacing w:val="4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pacing w:val="4"/>
                <w:sz w:val="20"/>
                <w:szCs w:val="20"/>
              </w:rPr>
              <w:t xml:space="preserve"> Verben) unterschieden.</w:t>
            </w:r>
          </w:p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783B78" w:rsidTr="00622FBC">
        <w:trPr>
          <w:trHeight w:hRule="exact" w:val="1125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9F" w:rsidRPr="00FB0C4F" w:rsidRDefault="00B06D9F" w:rsidP="00BE5D0B">
            <w:pPr>
              <w:pStyle w:val="TabelleLinks"/>
              <w:rPr>
                <w:szCs w:val="24"/>
              </w:rPr>
            </w:pPr>
            <w:r w:rsidRPr="00FB0C4F">
              <w:rPr>
                <w:szCs w:val="24"/>
              </w:rPr>
              <w:t>Satzebene</w:t>
            </w:r>
          </w:p>
          <w:p w:rsidR="00B06D9F" w:rsidRPr="00FB0C4F" w:rsidRDefault="00B06D9F" w:rsidP="00BE5D0B">
            <w:pPr>
              <w:pStyle w:val="TabelleLinks"/>
              <w:rPr>
                <w:szCs w:val="24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zCs w:val="24"/>
                <w:shd w:val="clear" w:color="auto" w:fill="FBD4B4" w:themeFill="accent6" w:themeFillTint="66"/>
              </w:rPr>
            </w:pPr>
            <w:r w:rsidRPr="00FB0C4F">
              <w:rPr>
                <w:b/>
                <w:szCs w:val="24"/>
                <w:shd w:val="clear" w:color="auto" w:fill="C2D69B" w:themeFill="accent3" w:themeFillTint="99"/>
              </w:rPr>
              <w:t>Parataxen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551E60" w:rsidP="008B3E5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spacing w:val="-9"/>
                <w:sz w:val="20"/>
              </w:rPr>
            </w:pPr>
            <w:r w:rsidRPr="008B3E58">
              <w:rPr>
                <w:rFonts w:asciiTheme="minorHAnsi" w:hAnsiTheme="minorHAnsi" w:cstheme="minorHAnsi"/>
                <w:sz w:val="20"/>
                <w:szCs w:val="20"/>
              </w:rPr>
              <w:t xml:space="preserve">Die Parataxe stellt eine Aneinanderreihung von 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br/>
              <w:t>–</w:t>
            </w:r>
            <w:r w:rsidRPr="008B3E58">
              <w:rPr>
                <w:rFonts w:asciiTheme="minorHAnsi" w:hAnsiTheme="minorHAnsi" w:cstheme="minorHAnsi"/>
                <w:sz w:val="20"/>
                <w:szCs w:val="20"/>
              </w:rPr>
              <w:t>kurzen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 xml:space="preserve"> –</w:t>
            </w:r>
            <w:r w:rsidRPr="008B3E58">
              <w:rPr>
                <w:rFonts w:asciiTheme="minorHAnsi" w:hAnsiTheme="minorHAnsi" w:cstheme="minorHAnsi"/>
                <w:sz w:val="20"/>
                <w:szCs w:val="20"/>
              </w:rPr>
              <w:t xml:space="preserve"> Hau</w:t>
            </w:r>
            <w:bookmarkStart w:id="1" w:name="_GoBack"/>
            <w:bookmarkEnd w:id="1"/>
            <w:r w:rsidRPr="008B3E58">
              <w:rPr>
                <w:rFonts w:asciiTheme="minorHAnsi" w:hAnsiTheme="minorHAnsi" w:cstheme="minorHAnsi"/>
                <w:sz w:val="20"/>
                <w:szCs w:val="20"/>
              </w:rPr>
              <w:t>ptsätzen dar. Diese wird nicht durch Nebensätze, also untergeordnete Sätze, unterbr</w:t>
            </w:r>
            <w:r w:rsidRPr="008B3E58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8B3E58">
              <w:rPr>
                <w:rFonts w:asciiTheme="minorHAnsi" w:hAnsiTheme="minorHAnsi" w:cstheme="minorHAnsi"/>
                <w:sz w:val="20"/>
                <w:szCs w:val="20"/>
              </w:rPr>
              <w:t>chen. Z.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8B3E58">
              <w:rPr>
                <w:rFonts w:asciiTheme="minorHAnsi" w:hAnsiTheme="minorHAnsi" w:cstheme="minorHAnsi"/>
                <w:sz w:val="20"/>
                <w:szCs w:val="20"/>
              </w:rPr>
              <w:t>B.: „Ich kam, ich sah, ich siegte.“ (Caesar)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-9"/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783B78" w:rsidTr="00551E60">
        <w:trPr>
          <w:trHeight w:hRule="exact" w:val="186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Default="00B06D9F" w:rsidP="00BE5D0B">
            <w:pPr>
              <w:pStyle w:val="TabelleLinks"/>
              <w:rPr>
                <w:szCs w:val="24"/>
              </w:rPr>
            </w:pPr>
            <w:r w:rsidRPr="00FB0C4F">
              <w:rPr>
                <w:szCs w:val="24"/>
              </w:rPr>
              <w:t>Gedanken-, Satzebene</w:t>
            </w:r>
          </w:p>
          <w:p w:rsidR="008B3E58" w:rsidRPr="00FB0C4F" w:rsidRDefault="008B3E58" w:rsidP="00BE5D0B">
            <w:pPr>
              <w:pStyle w:val="TabelleLinks"/>
              <w:rPr>
                <w:szCs w:val="24"/>
              </w:rPr>
            </w:pPr>
          </w:p>
          <w:p w:rsidR="00FB0C4F" w:rsidRPr="00FB0C4F" w:rsidRDefault="00B06D9F" w:rsidP="008B3E58">
            <w:pPr>
              <w:pStyle w:val="TabelleLinks"/>
              <w:rPr>
                <w:szCs w:val="24"/>
              </w:rPr>
            </w:pPr>
            <w:r w:rsidRPr="00FB0C4F">
              <w:rPr>
                <w:szCs w:val="24"/>
              </w:rPr>
              <w:t>(</w:t>
            </w:r>
            <w:r w:rsidRPr="00FB0C4F">
              <w:rPr>
                <w:b/>
                <w:szCs w:val="24"/>
                <w:shd w:val="clear" w:color="auto" w:fill="FFC000"/>
              </w:rPr>
              <w:t>rhetorische</w:t>
            </w:r>
            <w:r w:rsidRPr="00FB0C4F">
              <w:rPr>
                <w:szCs w:val="24"/>
              </w:rPr>
              <w:t xml:space="preserve">) </w:t>
            </w:r>
            <w:r w:rsidRPr="00FB0C4F">
              <w:rPr>
                <w:b/>
                <w:szCs w:val="24"/>
                <w:shd w:val="clear" w:color="auto" w:fill="C2D69B" w:themeFill="accent3" w:themeFillTint="99"/>
              </w:rPr>
              <w:t xml:space="preserve">Fragen, </w:t>
            </w:r>
            <w:r w:rsidR="008B3E58">
              <w:rPr>
                <w:b/>
                <w:szCs w:val="24"/>
                <w:shd w:val="clear" w:color="auto" w:fill="C2D69B" w:themeFill="accent3" w:themeFillTint="99"/>
              </w:rPr>
              <w:br/>
            </w:r>
            <w:r w:rsidRPr="00FB0C4F">
              <w:rPr>
                <w:b/>
                <w:szCs w:val="24"/>
                <w:shd w:val="clear" w:color="auto" w:fill="C2D69B" w:themeFill="accent3" w:themeFillTint="99"/>
              </w:rPr>
              <w:t>Frage</w:t>
            </w:r>
            <w:r w:rsidR="00551E60">
              <w:rPr>
                <w:b/>
                <w:szCs w:val="24"/>
                <w:shd w:val="clear" w:color="auto" w:fill="C2D69B" w:themeFill="accent3" w:themeFillTint="99"/>
              </w:rPr>
              <w:t>-</w:t>
            </w:r>
            <w:r w:rsidRPr="00FB0C4F">
              <w:rPr>
                <w:b/>
                <w:szCs w:val="24"/>
                <w:shd w:val="clear" w:color="auto" w:fill="C2D69B" w:themeFill="accent3" w:themeFillTint="99"/>
              </w:rPr>
              <w:t>sätze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Der Fragesatz erfragt die Meinung des Anderen. Ziel ist es, an Informationen zu kommen. </w:t>
            </w:r>
          </w:p>
          <w:p w:rsidR="00551E60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Dagegen ist die rhetorische Frage nur eine Schein-frage. Der Kontext lässt nur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die vom Sprecher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ünsch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te Antwort zu. </w:t>
            </w:r>
          </w:p>
          <w:p w:rsidR="00B06D9F" w:rsidRPr="00551E60" w:rsidRDefault="00551E60" w:rsidP="008B3E58">
            <w:pPr>
              <w:widowControl w:val="0"/>
              <w:kinsoku w:val="0"/>
              <w:overflowPunct w:val="0"/>
              <w:ind w:left="719" w:right="113" w:hanging="606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Bsp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„Wollt Ihr den totalen Krieg?“ – gewünschte Antwort: „Ja!“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Default="00B06D9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Pr="00FB0C4F" w:rsidRDefault="00FB0C4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Default="00B06D9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Default="00FB0C4F" w:rsidP="00BE5D0B">
            <w:pPr>
              <w:pStyle w:val="TabelleLinks"/>
              <w:rPr>
                <w:sz w:val="20"/>
              </w:rPr>
            </w:pPr>
          </w:p>
          <w:p w:rsidR="00FB0C4F" w:rsidRPr="00783B78" w:rsidRDefault="00FB0C4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783B78" w:rsidTr="00551E60">
        <w:trPr>
          <w:trHeight w:hRule="exact" w:val="2287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  <w:r w:rsidRPr="00FB0C4F">
              <w:rPr>
                <w:spacing w:val="2"/>
                <w:szCs w:val="24"/>
              </w:rPr>
              <w:lastRenderedPageBreak/>
              <w:t>Gedankenebene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</w:rPr>
              <w:t>Symbole</w:t>
            </w:r>
          </w:p>
          <w:p w:rsidR="00B06D9F" w:rsidRPr="00FB0C4F" w:rsidRDefault="00B06D9F" w:rsidP="00BE5D0B">
            <w:pPr>
              <w:pStyle w:val="TabelleLinks"/>
              <w:rPr>
                <w:b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  <w:shd w:val="clear" w:color="auto" w:fill="FFFF00"/>
              </w:rPr>
              <w:t>Dingsymbol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Default="00551E60" w:rsidP="00551E60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Ein Symbol ist ein Erkennungszeichen bzw. ein Sinnbild. Es steht anstelle eines abstrakten oder komplexen Sac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verhaltes bzw.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einer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Sache. Seine Bedeutung ergibt sich aus dem Zusammenhang oder setzt ein Vorwissen v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raus.</w:t>
            </w:r>
          </w:p>
          <w:p w:rsidR="00551E60" w:rsidRDefault="00551E60" w:rsidP="00551E60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Z.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B. steht das Kreuz für das Christentum oder die Rose für Liebe.</w:t>
            </w:r>
          </w:p>
          <w:p w:rsidR="00B06D9F" w:rsidRPr="00551E60" w:rsidRDefault="00551E60" w:rsidP="00551E60">
            <w:pPr>
              <w:autoSpaceDE w:val="0"/>
              <w:autoSpaceDN w:val="0"/>
              <w:adjustRightInd w:val="0"/>
              <w:ind w:left="57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Stellen Pflanzen, Tiere oder Gegenstände das Symbol dar, spricht man von einem Dingsymbol.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Tr="00551E60">
        <w:trPr>
          <w:trHeight w:hRule="exact" w:val="2403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  <w:r w:rsidRPr="00FB0C4F">
              <w:rPr>
                <w:spacing w:val="2"/>
                <w:szCs w:val="24"/>
              </w:rPr>
              <w:t>Gedankenebene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</w:rPr>
              <w:t>Symbole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  <w:r w:rsidRPr="00FB0C4F">
              <w:rPr>
                <w:b/>
                <w:szCs w:val="24"/>
                <w:shd w:val="clear" w:color="auto" w:fill="C2D69B" w:themeFill="accent3" w:themeFillTint="99"/>
              </w:rPr>
              <w:t xml:space="preserve">Farbsymbol, </w:t>
            </w:r>
            <w:r w:rsidR="008B3E58">
              <w:rPr>
                <w:b/>
                <w:szCs w:val="24"/>
                <w:shd w:val="clear" w:color="auto" w:fill="C2D69B" w:themeFill="accent3" w:themeFillTint="99"/>
              </w:rPr>
              <w:br/>
            </w:r>
            <w:r w:rsidRPr="00FB0C4F">
              <w:rPr>
                <w:b/>
                <w:szCs w:val="24"/>
                <w:shd w:val="clear" w:color="auto" w:fill="C2D69B" w:themeFill="accent3" w:themeFillTint="99"/>
              </w:rPr>
              <w:t>-werte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Zum Symbolbegriff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allgemein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siehe unter Dingsymbol.</w:t>
            </w:r>
          </w:p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Stellen Farben oder Farbwerte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das Symbol dar, spricht man von einem Farbsymbol.</w:t>
            </w:r>
          </w:p>
          <w:p w:rsidR="00551E60" w:rsidRDefault="00551E60" w:rsidP="00551E60">
            <w:pPr>
              <w:widowControl w:val="0"/>
              <w:kinsoku w:val="0"/>
              <w:overflowPunct w:val="0"/>
              <w:spacing w:before="6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die blaue Blume der Romantik. </w:t>
            </w:r>
          </w:p>
          <w:p w:rsidR="00B06D9F" w:rsidRPr="00551E60" w:rsidRDefault="00551E60" w:rsidP="00551E60">
            <w:pPr>
              <w:widowControl w:val="0"/>
              <w:kinsoku w:val="0"/>
              <w:overflowPunct w:val="0"/>
              <w:spacing w:before="6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Blume steht für das aufblühende Leben, die Farbe Blau kann als Sinnbild für den grenzenlosen Himmel und damit für die Sehnsucht der Romantiker nach 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begrenzter Freiheit 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tehen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783B78" w:rsidTr="00551E60">
        <w:trPr>
          <w:trHeight w:hRule="exact" w:val="1559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  <w:r w:rsidRPr="00FB0C4F">
              <w:rPr>
                <w:spacing w:val="2"/>
                <w:szCs w:val="24"/>
              </w:rPr>
              <w:t>Wortebene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  <w:shd w:val="clear" w:color="auto" w:fill="FFFF00"/>
              </w:rPr>
              <w:t>Personifikation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Durch die Personifikation wird ein Ding, eine Sache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oder Idee vermenschlicht, d.</w:t>
            </w:r>
            <w:r w:rsidR="008B3E5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h. es wird zu einer Pe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son. Vermenschlicht meint, dass einer unbelebten S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che menschliche Eigenschaften, Züge, Fähigkeiten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    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oder Verhaltensweisen zugeschrieben werden. </w:t>
            </w:r>
          </w:p>
          <w:p w:rsidR="00B06D9F" w:rsidRPr="00551E60" w:rsidRDefault="00551E60" w:rsidP="008B3E5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>Bsp.:</w:t>
            </w:r>
            <w:r w:rsidR="008B3E58">
              <w:rPr>
                <w:rFonts w:asciiTheme="minorHAnsi" w:hAnsiTheme="minorHAnsi" w:cstheme="minorHAnsi"/>
                <w:bCs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Die Sonne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strahlt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; der 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  <w:u w:val="single"/>
              </w:rPr>
              <w:t>schlaue</w:t>
            </w:r>
            <w:r w:rsidRPr="00BC7E0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Fuchs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E44447" w:rsidTr="00551E60">
        <w:trPr>
          <w:trHeight w:hRule="exact" w:val="2559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C000"/>
              </w:rPr>
            </w:pPr>
            <w:r w:rsidRPr="00FB0C4F">
              <w:rPr>
                <w:spacing w:val="2"/>
                <w:szCs w:val="24"/>
                <w:shd w:val="clear" w:color="auto" w:fill="FFFFFF" w:themeFill="background1"/>
              </w:rPr>
              <w:t>Gedankenebene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C000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pacing w:val="2"/>
                <w:szCs w:val="24"/>
                <w:shd w:val="clear" w:color="auto" w:fill="FFC000"/>
              </w:rPr>
            </w:pPr>
            <w:r w:rsidRPr="00FB0C4F">
              <w:rPr>
                <w:b/>
                <w:spacing w:val="2"/>
                <w:szCs w:val="24"/>
                <w:shd w:val="clear" w:color="auto" w:fill="FFC000"/>
              </w:rPr>
              <w:t>Antithesen – Gegensätze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Antithese macht einen Gegensatz deutlich. Wö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ter, Begriffe, Satzteile, Sätze oder Gedanken, die sich widersprechen, werden dabei einander gegenüberg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stellt. Der Gegensatz bezieht sich auf einen gemei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samen Oberbegriff bzw. eine Thematik. Die Gege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satzpaare können sich unmittelbar gegenüberstehen, aber auch über den Text verteilt sein. </w:t>
            </w:r>
          </w:p>
          <w:p w:rsidR="00B06D9F" w:rsidRPr="00551E60" w:rsidRDefault="00551E60" w:rsidP="008B3E58">
            <w:pPr>
              <w:widowControl w:val="0"/>
              <w:kinsoku w:val="0"/>
              <w:overflowPunct w:val="0"/>
              <w:ind w:left="719" w:right="113" w:hanging="606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„Was dieser heute baut, reißt jener morgen ein.“ (A. Gryphius „Es ist alles eitel“; Thema: Vergänglichkeit)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E44447" w:rsidRDefault="00B06D9F" w:rsidP="00BE5D0B">
            <w:pPr>
              <w:pStyle w:val="TabelleLinks"/>
              <w:rPr>
                <w:sz w:val="18"/>
                <w:szCs w:val="18"/>
              </w:rPr>
            </w:pPr>
          </w:p>
        </w:tc>
      </w:tr>
      <w:tr w:rsidR="00B06D9F" w:rsidRPr="00783B78" w:rsidTr="00551E60">
        <w:trPr>
          <w:trHeight w:hRule="exact" w:val="1861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FFFF" w:themeFill="background1"/>
              </w:rPr>
            </w:pPr>
            <w:r w:rsidRPr="00FB0C4F">
              <w:rPr>
                <w:spacing w:val="2"/>
                <w:szCs w:val="24"/>
                <w:shd w:val="clear" w:color="auto" w:fill="FFFFFF" w:themeFill="background1"/>
              </w:rPr>
              <w:lastRenderedPageBreak/>
              <w:t>Wortebene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C000"/>
              </w:rPr>
            </w:pPr>
          </w:p>
          <w:p w:rsidR="00B06D9F" w:rsidRPr="00FB0C4F" w:rsidRDefault="00B06D9F" w:rsidP="008B3E58">
            <w:pPr>
              <w:pStyle w:val="TabelleLinks"/>
              <w:rPr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  <w:shd w:val="clear" w:color="auto" w:fill="FFC000"/>
              </w:rPr>
              <w:t>Pars pro toto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BC7E05" w:rsidRDefault="00551E60" w:rsidP="00551E60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Pars pro toto bede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utet, dass ein Teil stellvertre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tend für das Ganze steht. </w:t>
            </w:r>
          </w:p>
          <w:p w:rsidR="00551E60" w:rsidRDefault="00551E60" w:rsidP="00551E60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 Kopf steht für eine Person; Brot für Essen; unter einem Dach steht für in einem Haus; vier Augen für zwei Personen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B06D9F" w:rsidRPr="00551E60" w:rsidRDefault="00551E60" w:rsidP="00551E60">
            <w:pPr>
              <w:widowControl w:val="0"/>
              <w:kinsoku w:val="0"/>
              <w:overflowPunct w:val="0"/>
              <w:ind w:left="57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Das Gegenstück zum Pars pro tot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ist das </w:t>
            </w:r>
            <w:proofErr w:type="spellStart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totum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pro </w:t>
            </w:r>
            <w:proofErr w:type="spellStart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parte</w:t>
            </w:r>
            <w:proofErr w:type="spellEnd"/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(„das Ganze steht für einen Teil“).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783B78" w:rsidTr="00551E60">
        <w:trPr>
          <w:trHeight w:hRule="exact" w:val="1844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FF00"/>
              </w:rPr>
            </w:pPr>
            <w:r w:rsidRPr="00FB0C4F">
              <w:rPr>
                <w:spacing w:val="2"/>
                <w:szCs w:val="24"/>
                <w:shd w:val="clear" w:color="auto" w:fill="FFFFFF" w:themeFill="background1"/>
              </w:rPr>
              <w:t>Satzebene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FF00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color w:val="FF0000"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  <w:shd w:val="clear" w:color="auto" w:fill="FFFF00"/>
              </w:rPr>
              <w:t>Anapher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Anapher (Rückbezug) bezeichnet die Wiederh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lung desselben Wortes oder eines Satzes zu Beginn aufeinander folgender Verse oder Strophen (Gedicht) bzw. Sätze oder Satzteile (Prosatext). Die Wiederh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o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lung verstärkt die Aussage.</w:t>
            </w:r>
          </w:p>
          <w:p w:rsidR="00551E60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 xml:space="preserve">Das Wasser 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rauscht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>‘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BC7E05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das Wasser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 xml:space="preserve"> schwoll.“</w:t>
            </w:r>
          </w:p>
          <w:p w:rsidR="00B06D9F" w:rsidRPr="00551E60" w:rsidRDefault="008B3E58" w:rsidP="008B3E58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="00551E60">
              <w:rPr>
                <w:rFonts w:asciiTheme="minorHAnsi" w:hAnsiTheme="minorHAnsi" w:cstheme="minorHAnsi"/>
                <w:sz w:val="20"/>
                <w:szCs w:val="20"/>
              </w:rPr>
              <w:t>(J.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1E60">
              <w:rPr>
                <w:rFonts w:asciiTheme="minorHAnsi" w:hAnsiTheme="minorHAnsi" w:cstheme="minorHAnsi"/>
                <w:sz w:val="20"/>
                <w:szCs w:val="20"/>
              </w:rPr>
              <w:t>W.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551E60">
              <w:rPr>
                <w:rFonts w:asciiTheme="minorHAnsi" w:hAnsiTheme="minorHAnsi" w:cstheme="minorHAnsi"/>
                <w:sz w:val="20"/>
                <w:szCs w:val="20"/>
              </w:rPr>
              <w:t>v. Goethe „Der Fischer“</w:t>
            </w:r>
            <w:r w:rsidR="00551E60" w:rsidRPr="00BC7E05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  <w:tr w:rsidR="00B06D9F" w:rsidRPr="00D723B6" w:rsidTr="00551E60">
        <w:trPr>
          <w:trHeight w:hRule="exact" w:val="2552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C000"/>
              </w:rPr>
            </w:pPr>
            <w:r w:rsidRPr="00FB0C4F">
              <w:rPr>
                <w:spacing w:val="2"/>
                <w:szCs w:val="24"/>
                <w:shd w:val="clear" w:color="auto" w:fill="FFFFFF" w:themeFill="background1"/>
              </w:rPr>
              <w:t xml:space="preserve">Satz-, </w:t>
            </w:r>
            <w:proofErr w:type="spellStart"/>
            <w:r w:rsidRPr="00FB0C4F">
              <w:rPr>
                <w:spacing w:val="2"/>
                <w:szCs w:val="24"/>
                <w:shd w:val="clear" w:color="auto" w:fill="FFFFFF" w:themeFill="background1"/>
              </w:rPr>
              <w:t>Gedan-kenebene</w:t>
            </w:r>
            <w:proofErr w:type="spellEnd"/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C000"/>
              </w:rPr>
            </w:pPr>
          </w:p>
          <w:p w:rsidR="00B06D9F" w:rsidRPr="00FB0C4F" w:rsidRDefault="00B06D9F" w:rsidP="008B3E58">
            <w:pPr>
              <w:pStyle w:val="TabelleLinks"/>
              <w:rPr>
                <w:color w:val="FF0000"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  <w:shd w:val="clear" w:color="auto" w:fill="FFC000"/>
              </w:rPr>
              <w:t>Chiasmus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0F72D4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Beim Chiasmus (Überkreuzstellung) werden Wörter, Satzglieder (Subjekt, Prädikat, Objekt) oder Sätze kreuzweise entgegengesetzt angeordnet: Ist der erste Satz nach dem Schema Subjekt-Prädikat-Objekt au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f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gebaut, folgt der 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 xml:space="preserve">zweite 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Satz dem Schema Objekt-Prädikat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 Subjekt. Subjekt und Objekt sind also in be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i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den Sätzen genau umgekehrt, quasi über Kreuz, ang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ordnet (Kreuzstellung). </w:t>
            </w:r>
          </w:p>
          <w:p w:rsidR="00551E60" w:rsidRPr="000F72D4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„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bdr w:val="dashed" w:sz="4" w:space="0" w:color="auto"/>
              </w:rPr>
              <w:t>Die Welt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 xml:space="preserve"> i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st 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groß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u w:val="single"/>
              </w:rPr>
              <w:t>klein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 xml:space="preserve"> ist </w:t>
            </w:r>
            <w:r w:rsidRPr="000F72D4">
              <w:rPr>
                <w:rFonts w:asciiTheme="minorHAnsi" w:hAnsiTheme="minorHAnsi" w:cstheme="minorHAnsi"/>
                <w:sz w:val="20"/>
                <w:szCs w:val="20"/>
                <w:bdr w:val="dashed" w:sz="4" w:space="0" w:color="auto"/>
              </w:rPr>
              <w:t>der Verstand</w:t>
            </w:r>
            <w:r w:rsidRPr="000F72D4">
              <w:rPr>
                <w:rFonts w:asciiTheme="minorHAnsi" w:hAnsiTheme="minorHAnsi" w:cstheme="minorHAnsi"/>
                <w:sz w:val="20"/>
                <w:szCs w:val="20"/>
              </w:rPr>
              <w:t>.“</w:t>
            </w:r>
          </w:p>
          <w:p w:rsidR="00B06D9F" w:rsidRPr="00FB0C4F" w:rsidRDefault="008B3E58" w:rsidP="00551E60">
            <w:pPr>
              <w:pStyle w:val="TabelleLinks"/>
              <w:rPr>
                <w:sz w:val="20"/>
              </w:rPr>
            </w:pPr>
            <w:r>
              <w:rPr>
                <w:rFonts w:cstheme="minorHAnsi"/>
                <w:sz w:val="20"/>
              </w:rPr>
              <w:tab/>
            </w:r>
            <w:r w:rsidR="00551E60" w:rsidRPr="000F72D4">
              <w:rPr>
                <w:rFonts w:cstheme="minorHAnsi"/>
                <w:sz w:val="20"/>
              </w:rPr>
              <w:t>(Goethe „Faust I“)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D723B6" w:rsidRDefault="00B06D9F" w:rsidP="00BE5D0B">
            <w:pPr>
              <w:pStyle w:val="TabelleLinks"/>
              <w:rPr>
                <w:sz w:val="19"/>
                <w:szCs w:val="19"/>
              </w:rPr>
            </w:pPr>
          </w:p>
        </w:tc>
      </w:tr>
      <w:tr w:rsidR="00B06D9F" w:rsidRPr="00783B78" w:rsidTr="00CE209F">
        <w:trPr>
          <w:trHeight w:hRule="exact" w:val="2261"/>
        </w:trPr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FF00"/>
              </w:rPr>
            </w:pPr>
            <w:r w:rsidRPr="00FB0C4F">
              <w:rPr>
                <w:spacing w:val="2"/>
                <w:szCs w:val="24"/>
                <w:shd w:val="clear" w:color="auto" w:fill="FFFFFF" w:themeFill="background1"/>
              </w:rPr>
              <w:t>Satzebene</w:t>
            </w:r>
          </w:p>
          <w:p w:rsidR="00B06D9F" w:rsidRPr="00FB0C4F" w:rsidRDefault="00B06D9F" w:rsidP="00BE5D0B">
            <w:pPr>
              <w:pStyle w:val="TabelleLinks"/>
              <w:rPr>
                <w:spacing w:val="2"/>
                <w:szCs w:val="24"/>
                <w:shd w:val="clear" w:color="auto" w:fill="FFFF00"/>
              </w:rPr>
            </w:pPr>
          </w:p>
          <w:p w:rsidR="00B06D9F" w:rsidRPr="00FB0C4F" w:rsidRDefault="00B06D9F" w:rsidP="00BE5D0B">
            <w:pPr>
              <w:pStyle w:val="TabelleLinks"/>
              <w:rPr>
                <w:b/>
                <w:spacing w:val="2"/>
                <w:szCs w:val="24"/>
              </w:rPr>
            </w:pPr>
            <w:r w:rsidRPr="00FB0C4F">
              <w:rPr>
                <w:b/>
                <w:spacing w:val="2"/>
                <w:szCs w:val="24"/>
                <w:shd w:val="clear" w:color="auto" w:fill="FFFF00"/>
              </w:rPr>
              <w:t>Ellipsen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Die Ellipse (Auslassung) bezeichnet einen grammatik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lisch unvollständigen Satz.  Unwichtige Teile des Sa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zes, häufig das Prädikat, fehlen. Trotzdem erschließt sich die Aussage, weil sich die Auslassungen durch den Kontext (Sprache, Situation) rekonstruieren lassen. Die verbleibenden Satzteile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erhalten so eine größere Bedeu</w:t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tung.</w:t>
            </w:r>
          </w:p>
          <w:p w:rsidR="00551E60" w:rsidRPr="00BC7E05" w:rsidRDefault="00551E60" w:rsidP="00551E60">
            <w:pPr>
              <w:widowControl w:val="0"/>
              <w:kinsoku w:val="0"/>
              <w:overflowPunct w:val="0"/>
              <w:ind w:left="113" w:right="113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Bsp.:</w:t>
            </w:r>
            <w:r w:rsidR="008B3E58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BC7E05">
              <w:rPr>
                <w:rFonts w:asciiTheme="minorHAnsi" w:hAnsiTheme="minorHAnsi" w:cstheme="minorHAnsi"/>
                <w:sz w:val="20"/>
                <w:szCs w:val="20"/>
              </w:rPr>
              <w:t>„Nicht ich, [sondern] du!“;</w:t>
            </w:r>
          </w:p>
          <w:p w:rsidR="00B06D9F" w:rsidRPr="00FB0C4F" w:rsidRDefault="008B3E58" w:rsidP="00551E60">
            <w:pPr>
              <w:pStyle w:val="TabelleLinks"/>
              <w:rPr>
                <w:sz w:val="20"/>
              </w:rPr>
            </w:pPr>
            <w:r>
              <w:rPr>
                <w:rFonts w:cstheme="minorHAnsi"/>
                <w:sz w:val="20"/>
              </w:rPr>
              <w:tab/>
            </w:r>
            <w:r w:rsidR="00551E60" w:rsidRPr="00BC7E05">
              <w:rPr>
                <w:rFonts w:cstheme="minorHAnsi"/>
                <w:sz w:val="20"/>
              </w:rPr>
              <w:t>„Du willst doch nicht etwa …!“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FB0C4F" w:rsidRDefault="00B06D9F" w:rsidP="00BE5D0B">
            <w:pPr>
              <w:pStyle w:val="TabelleLinks"/>
              <w:rPr>
                <w:sz w:val="20"/>
              </w:rPr>
            </w:pP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D9F" w:rsidRPr="00783B78" w:rsidRDefault="00B06D9F" w:rsidP="00BE5D0B">
            <w:pPr>
              <w:pStyle w:val="TabelleLinks"/>
              <w:rPr>
                <w:sz w:val="20"/>
              </w:rPr>
            </w:pPr>
          </w:p>
        </w:tc>
      </w:tr>
    </w:tbl>
    <w:p w:rsidR="00CD6932" w:rsidRPr="0044650F" w:rsidRDefault="00CD6932" w:rsidP="003E550E"/>
    <w:sectPr w:rsidR="00CD6932" w:rsidRPr="0044650F" w:rsidSect="00E43477">
      <w:headerReference w:type="default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CA6" w:rsidRDefault="00AC1CA6" w:rsidP="001E03DE">
      <w:r>
        <w:separator/>
      </w:r>
    </w:p>
  </w:endnote>
  <w:endnote w:type="continuationSeparator" w:id="0">
    <w:p w:rsidR="00AC1CA6" w:rsidRDefault="00AC1CA6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FC1" w:rsidRDefault="00A46FC1" w:rsidP="00A46FC1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A46FC1" w:rsidTr="00065729">
      <w:tc>
        <w:tcPr>
          <w:tcW w:w="817" w:type="dxa"/>
        </w:tcPr>
        <w:p w:rsidR="00A46FC1" w:rsidRDefault="00A46FC1" w:rsidP="00065729">
          <w:pPr>
            <w:pStyle w:val="Fuzeile"/>
          </w:pPr>
        </w:p>
      </w:tc>
      <w:tc>
        <w:tcPr>
          <w:tcW w:w="13574" w:type="dxa"/>
        </w:tcPr>
        <w:p w:rsidR="00A46FC1" w:rsidRDefault="00A46FC1" w:rsidP="00065729">
          <w:pPr>
            <w:pStyle w:val="Fuzeile"/>
          </w:pPr>
        </w:p>
      </w:tc>
      <w:tc>
        <w:tcPr>
          <w:tcW w:w="318" w:type="dxa"/>
        </w:tcPr>
        <w:p w:rsidR="00A46FC1" w:rsidRDefault="00A46FC1" w:rsidP="00065729">
          <w:pPr>
            <w:pStyle w:val="Fuzeile"/>
          </w:pPr>
        </w:p>
      </w:tc>
    </w:tr>
    <w:tr w:rsidR="00A46FC1" w:rsidTr="00065729">
      <w:tc>
        <w:tcPr>
          <w:tcW w:w="817" w:type="dxa"/>
        </w:tcPr>
        <w:p w:rsidR="00A46FC1" w:rsidRDefault="00A46FC1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A46FC1" w:rsidRDefault="00A46FC1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A46FC1" w:rsidRDefault="00A46FC1" w:rsidP="00065729">
          <w:pPr>
            <w:pStyle w:val="Fuzeile"/>
          </w:pPr>
        </w:p>
      </w:tc>
    </w:tr>
    <w:tr w:rsidR="00A46FC1" w:rsidTr="00065729">
      <w:tc>
        <w:tcPr>
          <w:tcW w:w="817" w:type="dxa"/>
        </w:tcPr>
        <w:p w:rsidR="00A46FC1" w:rsidRPr="008A6B36" w:rsidRDefault="00A46FC1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A46FC1" w:rsidRDefault="00CB6265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318" w:type="dxa"/>
        </w:tcPr>
        <w:p w:rsidR="00A46FC1" w:rsidRDefault="00A46FC1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CB6265">
            <w:rPr>
              <w:noProof/>
              <w:sz w:val="20"/>
            </w:rPr>
            <w:t>2</w:t>
          </w:r>
          <w:r w:rsidRPr="00B127D0">
            <w:rPr>
              <w:sz w:val="20"/>
            </w:rPr>
            <w:fldChar w:fldCharType="end"/>
          </w:r>
        </w:p>
      </w:tc>
    </w:tr>
  </w:tbl>
  <w:p w:rsidR="00E43477" w:rsidRPr="00A46FC1" w:rsidRDefault="00E43477" w:rsidP="00A46FC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E43477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CA6" w:rsidRDefault="00AC1CA6" w:rsidP="001E03DE">
      <w:r>
        <w:separator/>
      </w:r>
    </w:p>
  </w:footnote>
  <w:footnote w:type="continuationSeparator" w:id="0">
    <w:p w:rsidR="00AC1CA6" w:rsidRDefault="00AC1CA6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477" w:rsidRPr="00F131AC" w:rsidRDefault="00E43477" w:rsidP="00E43477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F4F7791" wp14:editId="36AAD50F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1" name="Gruppieren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477" w:rsidRPr="00E20335" w:rsidRDefault="00E43477" w:rsidP="00E4347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3" name="Grafik 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erade Verbindung 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1" o:spid="_x0000_s1026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GBK3ZiEBAAAiw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NuMMA&#10;AADaAAAADwAAAGRycy9kb3ducmV2LnhtbESP0WrCQBRE3wv+w3KFvpRmU7GxjW5CLVR8NfUDbrLX&#10;JJi9G7KriX/fFYQ+DjNzhtnkk+nElQbXWlbwFsUgiCurW64VHH9/Xj9AOI+ssbNMCm7kIM9mTxtM&#10;tR35QNfC1yJA2KWooPG+T6V0VUMGXWR74uCd7GDQBznUUg84Brjp5CKOE2mw5bDQYE/fDVXn4mIU&#10;nPbjy/vnWO78cXVYJltsV6W9KfU8n77WIDxN/j/8aO+1ggXcr4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ZwNuMMAAADaAAAADwAAAAAAAAAAAAAAAACYAgAAZHJzL2Rv&#10;d25yZXYueG1sUEsFBgAAAAAEAAQA9QAAAIgDAAAAAA==&#10;" stroked="f">
                <v:textbox>
                  <w:txbxContent>
                    <w:p w:rsidR="00E43477" w:rsidRPr="00E20335" w:rsidRDefault="00E43477" w:rsidP="00E4347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3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Z4LTCAAAA2gAAAA8AAABkcnMvZG93bnJldi54bWxEj0FrAjEUhO+F/ofwhN5qYoUiq1G0KAil&#10;yq5evD02z83i5mXZpLr++6YgeBxm5htmtuhdI67UhdqzhtFQgSAuvam50nA8bN4nIEJENth4Jg13&#10;CrCYv77MMDP+xjldi1iJBOGQoQYbY5tJGUpLDsPQt8TJO/vOYUyyq6Tp8JbgrpEfSn1KhzWnBYst&#10;fVkqL8Wv01AXP7vJfb0p7SpX+2IdFX6fLlq/DfrlFESkPj7Dj/bWaBjD/5V0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bWeC0wgAAANoAAAAPAAAAAAAAAAAAAAAAAJ8C&#10;AABkcnMvZG93bnJldi54bWxQSwUGAAAAAAQABAD3AAAAjgMAAAAA&#10;">
                <v:imagedata r:id="rId2" o:title=""/>
                <v:path arrowok="t"/>
              </v:shape>
              <v:line id="Gerade Verbindung 4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AwJ74AAADaAAAADwAAAGRycy9kb3ducmV2LnhtbERPTYvCMBC9L/gfwgje1tRFRKpRVFzx&#10;tKDb1evQjG2xmZQk1vrvN4Lg8fG+58vO1KIl5yvLCkbDBARxbnXFhYLs9/tzCsIHZI21ZVLwIA/L&#10;Re9jjqm2dz5QewyFiCHsU1RQhtCkUvq8JIN+aBviyF2sMxgidIXUDu8x3NTyK0km0mDFsaHEhjYl&#10;5dfjzcQZP+tdtmnZ4OPgztk0H522uz+lBv1uNQMRqAtv8cu91wrG8LwS/SAX/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cDAn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E43477" w:rsidRDefault="00E4347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477" w:rsidRPr="00F131AC" w:rsidRDefault="00E43477" w:rsidP="00E43477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006B719" wp14:editId="3CAAF38D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3477" w:rsidRPr="00E20335" w:rsidRDefault="00E43477" w:rsidP="00E43477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KRgeNrgAAAACgEAAA8AAABkcnMvZG93&#10;bnJldi54bWxMj0FLw0AQhe+C/2EZwZvdRE2sMZtSinoqBVuheJtmp0lodjdkt0n6752e9DQzvMeb&#10;7+WLybRioN43ziqIZxEIsqXTja0UfO8+HuYgfECrsXWWFFzIw6K4vckx0260XzRsQyU4xPoMFdQh&#10;dJmUvqzJoJ+5jixrR9cbDHz2ldQ9jhxuWvkYRak02Fj+UGNHq5rK0/ZsFHyOOC6f4vdhfTquLj+7&#10;ZLNfx6TU/d20fAMRaAp/ZrjiMzoUzHRwZ6u9aBW8viTsVPCc8rzqSRpxuQNvcRKDLHL5v0LxCw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/2KAEIYEAACLCgAADgAAAAAAAAAAAAAAAAA8AgAA&#10;ZHJzL2Uyb0RvYy54bWxQSwECLQAUAAYACAAAACEAT6GuxboAAAAhAQAAGQAAAAAAAAAAAAAAAADu&#10;BgAAZHJzL19yZWxzL2Uyb0RvYy54bWwucmVsc1BLAQItABQABgAIAAAAIQCkYHja4AAAAAo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E43477" w:rsidRPr="00E20335" w:rsidRDefault="00E43477" w:rsidP="00E43477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9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9F"/>
    <w:rsid w:val="0006495C"/>
    <w:rsid w:val="000B5E8D"/>
    <w:rsid w:val="000E724A"/>
    <w:rsid w:val="00153F87"/>
    <w:rsid w:val="001A2103"/>
    <w:rsid w:val="001E03DE"/>
    <w:rsid w:val="002223B8"/>
    <w:rsid w:val="00296589"/>
    <w:rsid w:val="003E550E"/>
    <w:rsid w:val="00445B6B"/>
    <w:rsid w:val="0044650F"/>
    <w:rsid w:val="00531D3A"/>
    <w:rsid w:val="00551E60"/>
    <w:rsid w:val="005966EC"/>
    <w:rsid w:val="006C34AA"/>
    <w:rsid w:val="00747286"/>
    <w:rsid w:val="007B2196"/>
    <w:rsid w:val="008A6B36"/>
    <w:rsid w:val="008A7911"/>
    <w:rsid w:val="008B3E58"/>
    <w:rsid w:val="009533B3"/>
    <w:rsid w:val="0097469D"/>
    <w:rsid w:val="009935DA"/>
    <w:rsid w:val="009C05F9"/>
    <w:rsid w:val="00A46FC1"/>
    <w:rsid w:val="00AC1CA6"/>
    <w:rsid w:val="00B06D9F"/>
    <w:rsid w:val="00B127D0"/>
    <w:rsid w:val="00BE5D0B"/>
    <w:rsid w:val="00C1176F"/>
    <w:rsid w:val="00C22DA6"/>
    <w:rsid w:val="00C329C9"/>
    <w:rsid w:val="00CB6265"/>
    <w:rsid w:val="00CD6932"/>
    <w:rsid w:val="00CE209F"/>
    <w:rsid w:val="00CF6EFF"/>
    <w:rsid w:val="00DA114A"/>
    <w:rsid w:val="00DC7E46"/>
    <w:rsid w:val="00E15C59"/>
    <w:rsid w:val="00E43477"/>
    <w:rsid w:val="00E82045"/>
    <w:rsid w:val="00F12379"/>
    <w:rsid w:val="00F131AC"/>
    <w:rsid w:val="00F44A67"/>
    <w:rsid w:val="00FB0C4F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F8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F8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53F87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53F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Bernd\Handreichung%20sprachliche%20Mittel\Formatvorlage%20meth.-didakt.-Konz.%202016-11-0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07202-C52B-4659-BB79-4CEEC5A7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2016-11-07.dotx</Template>
  <TotalTime>0</TotalTime>
  <Pages>3</Pages>
  <Words>662</Words>
  <Characters>4176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Conny Kress</dc:creator>
  <cp:lastModifiedBy>Barbian, Markus (LS)</cp:lastModifiedBy>
  <cp:revision>9</cp:revision>
  <cp:lastPrinted>2017-11-25T23:27:00Z</cp:lastPrinted>
  <dcterms:created xsi:type="dcterms:W3CDTF">2017-11-25T22:10:00Z</dcterms:created>
  <dcterms:modified xsi:type="dcterms:W3CDTF">2018-06-28T06:28:00Z</dcterms:modified>
</cp:coreProperties>
</file>